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31" w:rsidRPr="001C3AAA" w:rsidRDefault="00F13331" w:rsidP="00F13331">
      <w:pPr>
        <w:pStyle w:val="ac"/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A">
        <w:rPr>
          <w:rFonts w:ascii="Times New Roman" w:hAnsi="Times New Roman" w:cs="Times New Roman"/>
          <w:b/>
          <w:color w:val="000000"/>
          <w:sz w:val="28"/>
          <w:szCs w:val="28"/>
        </w:rPr>
        <w:t>АВТОНОМНАЯ НЕКОММЕРЧЕСКАЯ ОРГАНИЗАЦИЯ</w:t>
      </w:r>
    </w:p>
    <w:p w:rsidR="00F13331" w:rsidRPr="001C3AAA" w:rsidRDefault="00F13331" w:rsidP="00F13331">
      <w:pPr>
        <w:pStyle w:val="ac"/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A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F13331" w:rsidRPr="001C3AAA" w:rsidRDefault="00F13331" w:rsidP="00F13331">
      <w:pPr>
        <w:pStyle w:val="ac"/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A">
        <w:rPr>
          <w:rFonts w:ascii="Times New Roman" w:hAnsi="Times New Roman" w:cs="Times New Roman"/>
          <w:b/>
          <w:color w:val="000000"/>
          <w:sz w:val="28"/>
          <w:szCs w:val="28"/>
        </w:rPr>
        <w:t>МОСКОВСКИЙ ГУМАНИТАРНО-ЭКОНОМИЧЕСКИЙ ИНСТИТУТ</w:t>
      </w:r>
    </w:p>
    <w:p w:rsidR="00F13331" w:rsidRPr="001C3AAA" w:rsidRDefault="00F13331" w:rsidP="00F13331">
      <w:pPr>
        <w:pStyle w:val="ac"/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A">
        <w:rPr>
          <w:rFonts w:ascii="Times New Roman" w:hAnsi="Times New Roman" w:cs="Times New Roman"/>
          <w:b/>
          <w:color w:val="000000"/>
          <w:sz w:val="28"/>
          <w:szCs w:val="28"/>
        </w:rPr>
        <w:t>(АНО ВПО МГЭИ)</w:t>
      </w:r>
    </w:p>
    <w:p w:rsidR="00F13331" w:rsidRPr="001C3AAA" w:rsidRDefault="00F13331" w:rsidP="00F13331">
      <w:pPr>
        <w:pStyle w:val="1"/>
        <w:ind w:left="0" w:firstLine="0"/>
        <w:rPr>
          <w:b/>
          <w:szCs w:val="28"/>
        </w:rPr>
      </w:pPr>
      <w:r w:rsidRPr="001C3AAA">
        <w:rPr>
          <w:b/>
          <w:szCs w:val="28"/>
        </w:rPr>
        <w:t>КАЛУЖСКИЙ ФИЛИАЛ</w:t>
      </w: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0C6">
        <w:rPr>
          <w:rFonts w:ascii="Times New Roman" w:hAnsi="Times New Roman"/>
          <w:sz w:val="28"/>
          <w:szCs w:val="28"/>
        </w:rPr>
        <w:t xml:space="preserve">КОНТРОЛЬНОЕ ЗАДАНИЕ </w:t>
      </w: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0C6">
        <w:rPr>
          <w:rFonts w:ascii="Times New Roman" w:hAnsi="Times New Roman"/>
          <w:sz w:val="28"/>
          <w:szCs w:val="28"/>
        </w:rPr>
        <w:t xml:space="preserve">ДЛЯ СТУДЕНТОВ ЗАОЧНОГО ОТДЕЛЕНИЯ </w:t>
      </w: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C3AAA">
        <w:rPr>
          <w:rFonts w:ascii="Times New Roman" w:hAnsi="Times New Roman" w:cs="Times New Roman"/>
          <w:b/>
          <w:sz w:val="48"/>
          <w:szCs w:val="48"/>
        </w:rPr>
        <w:t>«КЛИНИЧЕСКАЯ ПСИХОЛОГИЯ В ЭКСПЕРТНОЙ ПРАКТИКЕ»</w:t>
      </w: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AAA">
        <w:rPr>
          <w:rFonts w:ascii="Times New Roman" w:hAnsi="Times New Roman" w:cs="Times New Roman"/>
          <w:b/>
          <w:bCs/>
          <w:sz w:val="28"/>
          <w:szCs w:val="28"/>
        </w:rPr>
        <w:t>по направлениям подготовки</w:t>
      </w:r>
    </w:p>
    <w:p w:rsidR="00F13331" w:rsidRPr="001C3AAA" w:rsidRDefault="00F13331" w:rsidP="00F13331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AAA">
        <w:rPr>
          <w:rFonts w:ascii="Times New Roman" w:hAnsi="Times New Roman"/>
          <w:b/>
          <w:color w:val="000000"/>
          <w:sz w:val="28"/>
          <w:szCs w:val="28"/>
        </w:rPr>
        <w:t xml:space="preserve">37.03.01 </w:t>
      </w:r>
      <w:r w:rsidRPr="001C3AAA">
        <w:rPr>
          <w:rFonts w:ascii="Times New Roman" w:hAnsi="Times New Roman"/>
          <w:b/>
          <w:sz w:val="28"/>
          <w:szCs w:val="28"/>
        </w:rPr>
        <w:t>ПСИХОЛОГИЯ</w:t>
      </w:r>
    </w:p>
    <w:p w:rsidR="00F13331" w:rsidRPr="001C3AAA" w:rsidRDefault="00F13331" w:rsidP="00F13331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C3AAA">
        <w:rPr>
          <w:rFonts w:ascii="Times New Roman" w:hAnsi="Times New Roman"/>
          <w:b/>
          <w:sz w:val="28"/>
          <w:szCs w:val="28"/>
          <w:lang w:val="ru-RU"/>
        </w:rPr>
        <w:t>Квалификация (степень) «бакалавр»</w:t>
      </w: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31" w:rsidRPr="001C3AAA" w:rsidRDefault="00F13331" w:rsidP="00F13331">
      <w:pPr>
        <w:pStyle w:val="ac"/>
        <w:shd w:val="clear" w:color="auto" w:fill="FFFFFF"/>
        <w:tabs>
          <w:tab w:val="left" w:pos="4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AA">
        <w:rPr>
          <w:rFonts w:ascii="Times New Roman" w:hAnsi="Times New Roman" w:cs="Times New Roman"/>
          <w:b/>
          <w:sz w:val="28"/>
          <w:szCs w:val="28"/>
        </w:rPr>
        <w:t>Калуга 2015</w:t>
      </w:r>
    </w:p>
    <w:p w:rsidR="00F13331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Pr="001C3AAA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Вантеева Е.В.</w:t>
      </w:r>
      <w:r w:rsidRPr="001C3AAA">
        <w:rPr>
          <w:rFonts w:ascii="Times New Roman" w:hAnsi="Times New Roman"/>
          <w:sz w:val="28"/>
          <w:szCs w:val="28"/>
        </w:rPr>
        <w:t>.</w:t>
      </w:r>
    </w:p>
    <w:p w:rsidR="00F13331" w:rsidRPr="001C3AAA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31" w:rsidRPr="001C3AAA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задание для студентов заочного отделения </w:t>
      </w:r>
      <w:r w:rsidR="006F0D31">
        <w:rPr>
          <w:rFonts w:ascii="Times New Roman" w:hAnsi="Times New Roman"/>
          <w:sz w:val="28"/>
          <w:szCs w:val="28"/>
        </w:rPr>
        <w:t xml:space="preserve">по дисциплине </w:t>
      </w:r>
      <w:r w:rsidRPr="001C3AAA">
        <w:rPr>
          <w:rFonts w:ascii="Times New Roman" w:hAnsi="Times New Roman"/>
          <w:sz w:val="28"/>
          <w:szCs w:val="28"/>
        </w:rPr>
        <w:t xml:space="preserve"> «Клиническая психология в экспертной практике». – </w:t>
      </w:r>
      <w:r>
        <w:rPr>
          <w:rFonts w:ascii="Times New Roman" w:hAnsi="Times New Roman"/>
          <w:sz w:val="28"/>
          <w:szCs w:val="28"/>
        </w:rPr>
        <w:t>К</w:t>
      </w:r>
      <w:r w:rsidRPr="001C3AAA">
        <w:rPr>
          <w:rFonts w:ascii="Times New Roman" w:hAnsi="Times New Roman"/>
          <w:sz w:val="28"/>
          <w:szCs w:val="28"/>
        </w:rPr>
        <w:t xml:space="preserve">. : КФ МГЭИ, 2015. – </w:t>
      </w:r>
      <w:r w:rsidR="006F0D31">
        <w:rPr>
          <w:rFonts w:ascii="Times New Roman" w:hAnsi="Times New Roman"/>
          <w:sz w:val="28"/>
          <w:szCs w:val="28"/>
        </w:rPr>
        <w:t>13</w:t>
      </w:r>
      <w:r w:rsidRPr="001C3AAA">
        <w:rPr>
          <w:rFonts w:ascii="Times New Roman" w:hAnsi="Times New Roman"/>
          <w:sz w:val="28"/>
          <w:szCs w:val="28"/>
        </w:rPr>
        <w:t xml:space="preserve"> с.</w:t>
      </w:r>
    </w:p>
    <w:p w:rsidR="00F13331" w:rsidRPr="001C3AAA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31" w:rsidRPr="001C3AAA" w:rsidRDefault="00F13331" w:rsidP="00F13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331" w:rsidRPr="001C3AAA" w:rsidRDefault="00F13331" w:rsidP="00F13331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AAA">
        <w:rPr>
          <w:rFonts w:ascii="Times New Roman" w:hAnsi="Times New Roman"/>
          <w:b w:val="0"/>
          <w:sz w:val="28"/>
          <w:szCs w:val="28"/>
        </w:rPr>
        <w:t xml:space="preserve">Одобрено кафедрой </w:t>
      </w:r>
      <w:r>
        <w:rPr>
          <w:rFonts w:ascii="Times New Roman" w:hAnsi="Times New Roman"/>
          <w:b w:val="0"/>
          <w:sz w:val="28"/>
          <w:szCs w:val="28"/>
        </w:rPr>
        <w:t>психологии и педагогики.</w:t>
      </w:r>
      <w:r w:rsidRPr="001C3AAA">
        <w:rPr>
          <w:rFonts w:ascii="Times New Roman" w:hAnsi="Times New Roman"/>
          <w:b w:val="0"/>
          <w:sz w:val="28"/>
          <w:szCs w:val="28"/>
        </w:rPr>
        <w:t xml:space="preserve"> Протокол заседания кафедры от </w:t>
      </w:r>
      <w:r w:rsidRPr="001C3AAA">
        <w:rPr>
          <w:rFonts w:ascii="Times New Roman" w:hAnsi="Times New Roman"/>
          <w:b w:val="0"/>
          <w:sz w:val="28"/>
          <w:szCs w:val="28"/>
          <w:highlight w:val="yellow"/>
        </w:rPr>
        <w:t>09.06.2015 г.№10</w:t>
      </w:r>
      <w:r w:rsidRPr="001C3AAA">
        <w:rPr>
          <w:rFonts w:ascii="Times New Roman" w:hAnsi="Times New Roman"/>
          <w:b w:val="0"/>
          <w:sz w:val="28"/>
          <w:szCs w:val="28"/>
        </w:rPr>
        <w:t>. Для студентов Калужского филиала Московского гуманитарно-экономического института направления подготовки</w:t>
      </w:r>
      <w:r w:rsidRPr="001C3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AAA">
        <w:rPr>
          <w:rFonts w:ascii="Times New Roman" w:hAnsi="Times New Roman"/>
          <w:b w:val="0"/>
          <w:sz w:val="28"/>
          <w:szCs w:val="28"/>
        </w:rPr>
        <w:t>37.03.01 Психология</w:t>
      </w: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31" w:rsidRDefault="006F0D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31" w:rsidRDefault="00F13331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07ED5" w:rsidRPr="00A07ED5" w:rsidRDefault="00A07ED5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1.1. Письменная контрольная работа является основной формой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07ED5">
        <w:rPr>
          <w:rFonts w:ascii="Times New Roman" w:hAnsi="Times New Roman" w:cs="Times New Roman"/>
          <w:sz w:val="28"/>
          <w:szCs w:val="28"/>
        </w:rPr>
        <w:t xml:space="preserve"> в межсессионный период и средством контроля выполнения ими учебного плана и усвоения учебного материала в объеме рабочей программы дисциплины.</w:t>
      </w: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1.2. Письменная контрольная работа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A07ED5">
        <w:rPr>
          <w:rFonts w:ascii="Times New Roman" w:hAnsi="Times New Roman" w:cs="Times New Roman"/>
          <w:sz w:val="28"/>
          <w:szCs w:val="28"/>
        </w:rPr>
        <w:t xml:space="preserve"> является одной из форм контроля учебного процесса. Ее назначение показать и доказать, что слушатель владеет научным материалом и может объяснять полученные научные данные.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1.3. Контрольная работа принимается к рассмотрению, если в процессе ее выполнения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A07ED5">
        <w:rPr>
          <w:rFonts w:ascii="Times New Roman" w:hAnsi="Times New Roman" w:cs="Times New Roman"/>
          <w:sz w:val="28"/>
          <w:szCs w:val="28"/>
        </w:rPr>
        <w:t xml:space="preserve"> учел и исполнил все предписания, касающиеся ее оформления и содержания.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1.4. Тематика контрольных работ соглас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A07ED5">
        <w:rPr>
          <w:rFonts w:ascii="Times New Roman" w:hAnsi="Times New Roman" w:cs="Times New Roman"/>
          <w:sz w:val="28"/>
          <w:szCs w:val="28"/>
        </w:rPr>
        <w:t xml:space="preserve"> с вопросами, которые вошли в объем экзамен</w:t>
      </w:r>
      <w:r>
        <w:rPr>
          <w:rFonts w:ascii="Times New Roman" w:hAnsi="Times New Roman" w:cs="Times New Roman"/>
          <w:sz w:val="28"/>
          <w:szCs w:val="28"/>
        </w:rPr>
        <w:t>а (зачета)</w:t>
      </w:r>
      <w:r w:rsidRPr="00A07ED5">
        <w:rPr>
          <w:rFonts w:ascii="Times New Roman" w:hAnsi="Times New Roman" w:cs="Times New Roman"/>
          <w:sz w:val="28"/>
          <w:szCs w:val="28"/>
        </w:rPr>
        <w:t>, написание контрольной работы является основной частью подготовки к экзамену (зачету).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1.5. Контрольные работы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07ED5">
        <w:rPr>
          <w:rFonts w:ascii="Times New Roman" w:hAnsi="Times New Roman" w:cs="Times New Roman"/>
          <w:sz w:val="28"/>
          <w:szCs w:val="28"/>
        </w:rPr>
        <w:t xml:space="preserve"> хранятся в течение учебного года и уничтожаются после итоговой аттестации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A07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7ED5">
        <w:rPr>
          <w:rFonts w:ascii="Times New Roman" w:hAnsi="Times New Roman" w:cs="Times New Roman"/>
          <w:b/>
          <w:sz w:val="28"/>
          <w:szCs w:val="28"/>
        </w:rPr>
        <w:t xml:space="preserve">. Организация и руководство контрольной работой </w:t>
      </w:r>
    </w:p>
    <w:p w:rsidR="00A07ED5" w:rsidRPr="00A07ED5" w:rsidRDefault="00A07ED5" w:rsidP="00A07ED5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2.1. Организация и руководство контрольной работой возлагается на преподавателя, за которым закреплена данная дисциплина. Преподаватель разрабатывает контрольные задания и методические указания по их выполнению, которые определяют общие требования к выполняемой контрольной работе. По итогам выполнения контрольной работы преподаватель ее проверяет. 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2.2. Срок выполнения контрольных работ устанавливается  согласно графику учебного процесса.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2.3. Контрольная работа должна в себя включать следующие обязательные этапы: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2.3.1. Подготовительный этап (выполнению контрольной должна предшествовать скрупулезная подготовительная работа, которая включает в себя знакомство с теоретическими вопросами и подбор общей и специальной литературы);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2.3.2. Работа над источниками;</w:t>
      </w:r>
    </w:p>
    <w:p w:rsid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2.3.3. Изложение работы 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>2.3.4. Оформление работы;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lastRenderedPageBreak/>
        <w:t>2.3.5. Оформление библиографического списка.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2.4. 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оформляться в соответствии с предъявляемыми  требованиями к контрольным работам: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На титульном листе в верхней части обозначается наименование учебного заведения, факультета, кафедры, пишется фамилия и инициалы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слушателя, выполнившего работу 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дата выполнения контрольной работы. 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Контрольная работа выполняется в электронном виде, на стороне листа формата А4 (210x298 мм) на компьютере. При написании следует выбирать следующие параметры текста и страницы: стиль – «Обычный», шрифт – «Times New Roman», размер шрифта – «14»; поля: верхнее –20 мм, нижнее –20 мм, левое – 30 мм,   правое –  10-15 мм.  Для абзаца выбираются следующие параметры: первая строка  отступ на 1,25 см, распределение текста на странице «По ширине».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Страницы обозначаются арабскими цифрами на верхнем поле в средней части. Отсчет страниц начинается с титульного листа, однако цифра «1» на титульном листе не проставляется. Не проставляются страницы и на листах, которые полностью заняты таблицами или иллюстрациями, и текст которых размещен по длине листа. Однако такие страницы в сквозной нумерации учитываются.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Иллюстрации в контрольной работе размещаются тогда, когда они могут придать излагаемому материалу ясность, конкретность и образность. Все иллюстрации (фотографии, схемы, графики, диаграммы и т.п.) именуются рисунками и нумеруются последовательно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рисунки сопровождаются подписью непосредственно после номера рисунка. В конце подписи (наименования рисунка) точка не ставится.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Таблицы следует располагать после первого упоминания о них в тексте контрольной работы. Если таблицы с текстом непосредственно не связаны, не имеют первостепенного значения, то можно их располагать в приложении. Все таблицы должны иметь заголовок, который располагается по центру над таблицей. Заголовок должен кратко характеризовать значение табличных данных. При необходимости под заголовком меньшим шрифтом в скобках дается уточняющее наименование приведенных в таблице данных. Точка в конце заголовка не ставится.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Формулы и уравнения могут располагаться как отдельными строками, так и непосредственно в тексте. В отдельные строки включаются наиболее важные формулы. Если формула выделяется из текста в отдельную строку, то выше и ниже каждой формулы оставляется не менее одной свободной строки.</w:t>
      </w:r>
    </w:p>
    <w:p w:rsidR="00A07ED5" w:rsidRPr="00A07ED5" w:rsidRDefault="00A07ED5" w:rsidP="00A07ED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По контексту контрольной работы автор может и должен ссылаться на соответствующие литературные источники. Это делается тогда, когда текст 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литературного источника цитируется дословно или когда используются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литературы, размещенному в конце работы, и страницы источника.</w:t>
      </w:r>
    </w:p>
    <w:p w:rsidR="00A07ED5" w:rsidRPr="00A07ED5" w:rsidRDefault="00A07ED5" w:rsidP="00A07ED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7ED5">
        <w:rPr>
          <w:rFonts w:ascii="Times New Roman" w:hAnsi="Times New Roman" w:cs="Times New Roman"/>
          <w:b/>
          <w:sz w:val="28"/>
          <w:szCs w:val="28"/>
        </w:rPr>
        <w:t>. Содержание контрольной работы</w:t>
      </w:r>
    </w:p>
    <w:p w:rsidR="00A07ED5" w:rsidRPr="00A07ED5" w:rsidRDefault="00A07ED5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3.1. 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  должна предшествовать подготовительная работа, которая включает следующие шаги: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предварительное знакомство с состоянием исследуемого вопроса (то есть изучение хотя бы одного источника по теме);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знакомство со специальной и дополнительной литературой;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концепции работы по разрабатываемой теме на основе собственных данных, фактов и материалов;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критический анализ собственных и опубликованных данных;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своей точки зрения по рассматриваемой проблеме;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выводов.</w:t>
      </w:r>
    </w:p>
    <w:p w:rsidR="00A07ED5" w:rsidRPr="00A07ED5" w:rsidRDefault="00A07ED5" w:rsidP="00A07E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Обязательной начальной стадией является подбор источников и их изучение. Основным требованием к работе является использование специальной литературы. Автор не ограничен в количестве привлекаемых источников. Дополнительная литература, используемая для написания работы, должна быть тщательно отобрана автором согласно тематике его работы и проанализирована, так как предполагается, что на ее основе автор делает самостоятельные выводы.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D5" w:rsidRPr="00A07ED5" w:rsidRDefault="00A07ED5" w:rsidP="00A07ED5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07ED5">
        <w:rPr>
          <w:rFonts w:ascii="Times New Roman" w:hAnsi="Times New Roman" w:cs="Times New Roman"/>
          <w:sz w:val="28"/>
          <w:szCs w:val="28"/>
        </w:rPr>
        <w:t>Содержание (план работы)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второй странице. Заголовки </w:t>
      </w:r>
      <w:r w:rsidR="00B3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печатаются заглавными (пропис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ными) буквами,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черкивание заголовков не допускается. В конце наименования параграфов указываются страницы, на которых они напечатаны.</w:t>
      </w:r>
    </w:p>
    <w:p w:rsidR="00A07ED5" w:rsidRPr="00A07ED5" w:rsidRDefault="00A07ED5" w:rsidP="00B35BC9">
      <w:pPr>
        <w:shd w:val="clear" w:color="auto" w:fill="FFFFFF"/>
        <w:spacing w:line="264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A07ED5">
        <w:rPr>
          <w:rFonts w:ascii="Times New Roman" w:hAnsi="Times New Roman" w:cs="Times New Roman"/>
          <w:sz w:val="28"/>
          <w:szCs w:val="28"/>
        </w:rPr>
        <w:t xml:space="preserve"> Описание включает в себя развернутые ответы на поставленные в контрольной работе вопросы. Ответы должны быть основаны не только на научной информации, полученной из библиографических источников, но и на собственном анализе и видении проблемы. </w:t>
      </w:r>
    </w:p>
    <w:p w:rsidR="00A07ED5" w:rsidRPr="00A07ED5" w:rsidRDefault="00A07ED5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Default="00A07ED5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D5">
        <w:rPr>
          <w:rFonts w:ascii="Times New Roman" w:hAnsi="Times New Roman" w:cs="Times New Roman"/>
          <w:sz w:val="28"/>
          <w:szCs w:val="28"/>
        </w:rPr>
        <w:t>3.</w:t>
      </w:r>
      <w:r w:rsidR="00B35BC9">
        <w:rPr>
          <w:rFonts w:ascii="Times New Roman" w:hAnsi="Times New Roman" w:cs="Times New Roman"/>
          <w:sz w:val="28"/>
          <w:szCs w:val="28"/>
        </w:rPr>
        <w:t xml:space="preserve">5. </w:t>
      </w:r>
      <w:r w:rsidRPr="00A07ED5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 все использованные в работе источники, на которые  ссылались в тексте. Располагать литературные источники следует в алфавитном порядке, как это делается в диссер</w:t>
      </w: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тационных работах.</w:t>
      </w:r>
    </w:p>
    <w:p w:rsidR="00EE2206" w:rsidRDefault="00EE2206" w:rsidP="00A0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06" w:rsidRPr="003320C6" w:rsidRDefault="00EE2206" w:rsidP="00EE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 </w:t>
      </w:r>
      <w:r w:rsidRPr="003320C6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13</w:t>
      </w:r>
      <w:r w:rsidRPr="003320C6">
        <w:rPr>
          <w:rFonts w:ascii="Times New Roman" w:hAnsi="Times New Roman"/>
          <w:sz w:val="28"/>
          <w:szCs w:val="28"/>
        </w:rPr>
        <w:t xml:space="preserve"> вариантов контрольного задания</w:t>
      </w:r>
      <w:r w:rsidRPr="00EE2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каждом из 4 блоков заданий.</w:t>
      </w:r>
      <w:r w:rsidRPr="003320C6">
        <w:rPr>
          <w:rFonts w:ascii="Times New Roman" w:hAnsi="Times New Roman"/>
          <w:sz w:val="28"/>
          <w:szCs w:val="28"/>
        </w:rPr>
        <w:t xml:space="preserve"> Выбор варианта производится в соответствии с номером, под которым студент записан в журнале регистрации письменных работ. Если в группе более </w:t>
      </w:r>
      <w:r>
        <w:rPr>
          <w:rFonts w:ascii="Times New Roman" w:hAnsi="Times New Roman"/>
          <w:sz w:val="28"/>
          <w:szCs w:val="28"/>
        </w:rPr>
        <w:t>13</w:t>
      </w:r>
      <w:r w:rsidRPr="003320C6">
        <w:rPr>
          <w:rFonts w:ascii="Times New Roman" w:hAnsi="Times New Roman"/>
          <w:sz w:val="28"/>
          <w:szCs w:val="28"/>
        </w:rPr>
        <w:t xml:space="preserve"> студентов, то студент под №</w:t>
      </w:r>
      <w:r>
        <w:rPr>
          <w:rFonts w:ascii="Times New Roman" w:hAnsi="Times New Roman"/>
          <w:sz w:val="28"/>
          <w:szCs w:val="28"/>
        </w:rPr>
        <w:t>14</w:t>
      </w:r>
      <w:r w:rsidRPr="003320C6">
        <w:rPr>
          <w:rFonts w:ascii="Times New Roman" w:hAnsi="Times New Roman"/>
          <w:sz w:val="28"/>
          <w:szCs w:val="28"/>
        </w:rPr>
        <w:t xml:space="preserve"> выполняет вариант №1, под №</w:t>
      </w:r>
      <w:r>
        <w:rPr>
          <w:rFonts w:ascii="Times New Roman" w:hAnsi="Times New Roman"/>
          <w:sz w:val="28"/>
          <w:szCs w:val="28"/>
        </w:rPr>
        <w:t>15</w:t>
      </w:r>
      <w:r w:rsidRPr="003320C6">
        <w:rPr>
          <w:rFonts w:ascii="Times New Roman" w:hAnsi="Times New Roman"/>
          <w:sz w:val="28"/>
          <w:szCs w:val="28"/>
        </w:rPr>
        <w:t>- №2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2206" w:rsidRPr="003320C6" w:rsidRDefault="00EE2206" w:rsidP="00EE2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0C6">
        <w:rPr>
          <w:rFonts w:ascii="Times New Roman" w:hAnsi="Times New Roman"/>
          <w:sz w:val="28"/>
          <w:szCs w:val="28"/>
        </w:rPr>
        <w:t>Нарушение порядка выбора варианта ведет к незачету работы.</w:t>
      </w:r>
    </w:p>
    <w:p w:rsidR="00EE2206" w:rsidRPr="00A07ED5" w:rsidRDefault="00EE2206" w:rsidP="00A0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shd w:val="clear" w:color="auto" w:fill="FFFFFF"/>
        <w:spacing w:line="264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D5" w:rsidRPr="00A07ED5" w:rsidRDefault="00A07ED5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07ED5">
        <w:rPr>
          <w:rFonts w:ascii="Times New Roman" w:hAnsi="Times New Roman" w:cs="Times New Roman"/>
          <w:b/>
          <w:sz w:val="28"/>
          <w:szCs w:val="28"/>
        </w:rPr>
        <w:t>. Рецензирование контрольной работы</w:t>
      </w:r>
    </w:p>
    <w:p w:rsidR="00A07ED5" w:rsidRPr="00A07ED5" w:rsidRDefault="00A07ED5" w:rsidP="00A07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07ED5">
        <w:rPr>
          <w:rFonts w:ascii="Times New Roman" w:hAnsi="Times New Roman" w:cs="Times New Roman"/>
          <w:sz w:val="28"/>
          <w:szCs w:val="28"/>
        </w:rPr>
        <w:t xml:space="preserve">Рецензирование контрольной работы ставит своей целью проверку самостоятельной работы </w:t>
      </w:r>
      <w:r w:rsidR="00B35BC9">
        <w:rPr>
          <w:rFonts w:ascii="Times New Roman" w:hAnsi="Times New Roman" w:cs="Times New Roman"/>
          <w:sz w:val="28"/>
          <w:szCs w:val="28"/>
        </w:rPr>
        <w:t>студента</w:t>
      </w:r>
      <w:r w:rsidRPr="00A07ED5">
        <w:rPr>
          <w:rFonts w:ascii="Times New Roman" w:hAnsi="Times New Roman" w:cs="Times New Roman"/>
          <w:sz w:val="28"/>
          <w:szCs w:val="28"/>
        </w:rPr>
        <w:t xml:space="preserve"> по изучаемой дисциплине, успешность усвоения теоретического материала; оказание </w:t>
      </w:r>
      <w:r w:rsidR="00B35BC9">
        <w:rPr>
          <w:rFonts w:ascii="Times New Roman" w:hAnsi="Times New Roman" w:cs="Times New Roman"/>
          <w:sz w:val="28"/>
          <w:szCs w:val="28"/>
        </w:rPr>
        <w:t>студенту</w:t>
      </w:r>
      <w:r w:rsidRPr="00A07ED5">
        <w:rPr>
          <w:rFonts w:ascii="Times New Roman" w:hAnsi="Times New Roman" w:cs="Times New Roman"/>
          <w:sz w:val="28"/>
          <w:szCs w:val="28"/>
        </w:rPr>
        <w:t xml:space="preserve">  помощи в овладении теоретическим курсом (обратить его внимание на ошибки и указать пути их исправления).</w:t>
      </w: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D5">
        <w:rPr>
          <w:rFonts w:ascii="Times New Roman" w:hAnsi="Times New Roman" w:cs="Times New Roman"/>
          <w:sz w:val="28"/>
          <w:szCs w:val="28"/>
        </w:rPr>
        <w:t xml:space="preserve">4.2. Если в процессе рецензирования преподаватель установит, что работа выполнена слушателем не самостоятельно, то она не зачитывается и возвращается ему с рецензией, в которой указаны причины ее незачета. Работа, выполненная небрежно, также возвращается слушателю без проверки с указанием причин. </w:t>
      </w:r>
    </w:p>
    <w:p w:rsidR="00A07ED5" w:rsidRPr="00A07ED5" w:rsidRDefault="00A07ED5" w:rsidP="00A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6D" w:rsidRDefault="0099296D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426F48" w:rsidRDefault="00426F48">
      <w:pPr>
        <w:rPr>
          <w:rFonts w:ascii="Times New Roman" w:hAnsi="Times New Roman" w:cs="Times New Roman"/>
          <w:sz w:val="28"/>
          <w:szCs w:val="28"/>
        </w:rPr>
      </w:pPr>
    </w:p>
    <w:p w:rsidR="006F0D31" w:rsidRPr="006F0D31" w:rsidRDefault="006F0D31" w:rsidP="006F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31">
        <w:rPr>
          <w:rFonts w:ascii="Times New Roman" w:hAnsi="Times New Roman" w:cs="Times New Roman"/>
          <w:b/>
          <w:sz w:val="28"/>
          <w:szCs w:val="28"/>
        </w:rPr>
        <w:lastRenderedPageBreak/>
        <w:t>Варианты контрольных заданий</w:t>
      </w:r>
    </w:p>
    <w:p w:rsidR="001204B2" w:rsidRPr="006F0D31" w:rsidRDefault="001204B2">
      <w:pPr>
        <w:rPr>
          <w:rFonts w:ascii="Times New Roman" w:hAnsi="Times New Roman" w:cs="Times New Roman"/>
          <w:b/>
          <w:sz w:val="28"/>
          <w:szCs w:val="28"/>
        </w:rPr>
      </w:pPr>
      <w:r w:rsidRPr="006F0D31">
        <w:rPr>
          <w:rFonts w:ascii="Times New Roman" w:hAnsi="Times New Roman" w:cs="Times New Roman"/>
          <w:b/>
          <w:sz w:val="28"/>
          <w:szCs w:val="28"/>
        </w:rPr>
        <w:t>Блок №1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Каковы подходы к определению понятия «эксперт»?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В чем особенности правового понятия «эксперт»?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Каково место «эксперта» в судебной экспертологии?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В чем особенности правового понятия «специалист»?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Какие функции может осуществлять специалист в судебном процессе?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Каковы сходства и различия понятий «эксперт» и «специалист»?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В каких трех формах могут применяться психологические знания в судебной, следственной и оперативной практике? В чем их особенности?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Каковы основные положения этической стороны экспертной деятельности?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Обозначьте границы компетентности эксперта-психолога?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отрасли психологии могут быть использованы при производстве судебно-психологической экспертизы и почему?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подходы к определению судебно-психологической экспертизы существуют на данный момент?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Каков общий объект судебно-психологической экспертизы?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Каков общий предмет судебно-психологической экспертизы?</w:t>
      </w:r>
      <w:r w:rsidR="001204B2" w:rsidRPr="001204B2">
        <w:rPr>
          <w:rFonts w:ascii="Times New Roman" w:hAnsi="Times New Roman" w:cs="Times New Roman"/>
          <w:sz w:val="28"/>
          <w:szCs w:val="28"/>
        </w:rPr>
        <w:t xml:space="preserve"> </w:t>
      </w:r>
      <w:r w:rsidRPr="001204B2">
        <w:rPr>
          <w:rFonts w:ascii="Times New Roman" w:hAnsi="Times New Roman" w:cs="Times New Roman"/>
          <w:sz w:val="28"/>
          <w:szCs w:val="28"/>
        </w:rPr>
        <w:t>Каковы задачи судебно-психологической экспертизы?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В чем заключаются основные методологические принципы судебно-психологической экспертизы?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предметные виды судебно-психологической экспертизы существуют в уголовном процессе?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предметные виды судебно-психологической экспертизы существуют в гражданском процессе?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предметные виды судебно-психологической экспертизы существуют по делам об административных правонарушениях?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Каковы новые направления судебно-психологической экспертизы?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Можно ли использовать психологические экспертные знания в комплексных судебных экспертизах?</w:t>
      </w:r>
    </w:p>
    <w:p w:rsidR="00426F48" w:rsidRPr="001204B2" w:rsidRDefault="00426F48" w:rsidP="00426F48">
      <w:pPr>
        <w:pStyle w:val="a3"/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4B2">
        <w:rPr>
          <w:rFonts w:ascii="Times New Roman" w:hAnsi="Times New Roman" w:cs="Times New Roman"/>
          <w:sz w:val="28"/>
          <w:szCs w:val="28"/>
        </w:rPr>
        <w:t>Какие правовые и методологические особенности комплексных экспертиз с участием эксперта-психолога существуют на данный момент?</w:t>
      </w:r>
    </w:p>
    <w:p w:rsidR="00426F48" w:rsidRPr="001204B2" w:rsidRDefault="00426F48" w:rsidP="00426F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154" w:rsidRPr="006F0D31" w:rsidRDefault="001204B2" w:rsidP="00426F4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31">
        <w:rPr>
          <w:rFonts w:ascii="Times New Roman" w:hAnsi="Times New Roman" w:cs="Times New Roman"/>
          <w:b/>
          <w:sz w:val="28"/>
          <w:szCs w:val="28"/>
        </w:rPr>
        <w:t>Блок №2</w:t>
      </w:r>
    </w:p>
    <w:p w:rsid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 xml:space="preserve">Что такое судебная экспертиза? В каких случаях назначается судебная экспертиза? Что такое однородная судебная экспертиза? Что такое комиссионная судебная экспертиза? 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lastRenderedPageBreak/>
        <w:t>Что такое судебно-психологическая экспертиза (СПЭ)? Что может явиться основанием для назначения СПЭ?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Кто назначает проведение СПЭ? Кто вправе ходатайствовать о назначении экспертизы? Как правильно называется человек, в отношении которого проводится СПЭ?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Какими правами обладает лицо, в отношении которого назначена СПЭ? Что является предметом СПЭ?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Как давно в России стала применяться СПЭ?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Чем СПЭ отличается от судебно-психиатрической экспертизы? Какие существуют виды СПЭ?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Что подразумевается под термином «специальные познания» и какие формы их применения существуют?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Что подразумевается под термином «психологические познания» и что у них общего со «специальными познаниями»?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Кто может выступить в роли эксперта-психолога? Каковы обязанности психолога при производстве судебно-психологической экспертизы?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В каких еще функциональных ролях может выступать психолог при расследовании преступлений?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 xml:space="preserve">Что такое комплексная судебная психолого-психиатрическая экспертиза (КСППЭ)? В чем особенности </w:t>
      </w:r>
      <w:r w:rsidRPr="00903209">
        <w:rPr>
          <w:rFonts w:ascii="Times New Roman" w:hAnsi="Times New Roman" w:cs="Times New Roman"/>
          <w:iCs/>
          <w:sz w:val="28"/>
          <w:szCs w:val="28"/>
        </w:rPr>
        <w:t>взаимодействия эксперта-психолога с экспертом-психиатром при проведении КСППЭ?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 xml:space="preserve">Какие еще существуют виды комплексных экспертиз с участием психолога? </w:t>
      </w:r>
    </w:p>
    <w:p w:rsidR="00903209" w:rsidRPr="00903209" w:rsidRDefault="00903209" w:rsidP="009032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09">
        <w:rPr>
          <w:rFonts w:ascii="Times New Roman" w:hAnsi="Times New Roman" w:cs="Times New Roman"/>
          <w:sz w:val="28"/>
          <w:szCs w:val="28"/>
        </w:rPr>
        <w:t>Какой информацией о подэкспертном лице должен располагать эксперт-психолог при производстве СПЭ? Может ли лицо, в отношении которого назначена СПЭ,  отказаться от участия в ней?</w:t>
      </w:r>
    </w:p>
    <w:p w:rsidR="00903209" w:rsidRDefault="00903209" w:rsidP="00426F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B00" w:rsidRPr="006F0D31" w:rsidRDefault="007E6B00" w:rsidP="00426F4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31">
        <w:rPr>
          <w:rFonts w:ascii="Times New Roman" w:hAnsi="Times New Roman" w:cs="Times New Roman"/>
          <w:b/>
          <w:sz w:val="28"/>
          <w:szCs w:val="28"/>
        </w:rPr>
        <w:t>Блок №3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Кто по закону считается несовершеннолетним? Как соотносятся между собой понятия «несовершеннолетний» и «малолетний»? Как соотносятся между собой понятия «несовершеннолетний» и «подросток»?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Какие индивидуально-психологические особенности личности обычно свойственны подростковому возрасту?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Что является предметом СПЭ несовершеннолетних? В чем отличия СПЭ несовершеннолетних от других видов СПЭ?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Обязательно ли нахождение взрослого в процессе СПЭ несовершеннолетнего? Имеет ли право несовершеннолетий отказаться от похождения СПЭ? Сколько времени может длиться СПЭ несовершеннолетнего?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Какой психодиагностический инструментарий чаще всего используется в СПЭ несовершеннолетних?</w:t>
      </w:r>
    </w:p>
    <w:p w:rsidR="007E6B00" w:rsidRPr="00D91412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2">
        <w:rPr>
          <w:rFonts w:ascii="Times New Roman" w:hAnsi="Times New Roman" w:cs="Times New Roman"/>
          <w:sz w:val="28"/>
          <w:szCs w:val="28"/>
        </w:rPr>
        <w:lastRenderedPageBreak/>
        <w:t>Какие две формы отставания и отклонения в психическом развитии исследуются в СПЭ несовершеннолетних?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Что такое задержка психического развития у подростка и каковы ее признаки?</w:t>
      </w:r>
    </w:p>
    <w:p w:rsidR="007E6B00" w:rsidRPr="00D91412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2">
        <w:rPr>
          <w:rFonts w:ascii="Times New Roman" w:hAnsi="Times New Roman" w:cs="Times New Roman"/>
          <w:sz w:val="28"/>
          <w:szCs w:val="28"/>
        </w:rPr>
        <w:t>Может ли эксперт-психолог исследовать подростка, у которого есть нарушения в психическом развитии?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Может ли эксперт-психолог выявить признаки отставания в психическом развитии, не связанного с психическим заболеванием?</w:t>
      </w:r>
    </w:p>
    <w:p w:rsidR="00D91412" w:rsidRPr="007E6B00" w:rsidRDefault="007E6B00" w:rsidP="00D914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Что такое психосексуальный инфантилизм и каковы его признаки?</w:t>
      </w:r>
      <w:r w:rsidR="00D91412">
        <w:rPr>
          <w:rFonts w:ascii="Times New Roman" w:hAnsi="Times New Roman" w:cs="Times New Roman"/>
          <w:sz w:val="28"/>
          <w:szCs w:val="28"/>
        </w:rPr>
        <w:t xml:space="preserve"> </w:t>
      </w:r>
      <w:r w:rsidR="00D91412" w:rsidRPr="007E6B00">
        <w:rPr>
          <w:rFonts w:ascii="Times New Roman" w:hAnsi="Times New Roman" w:cs="Times New Roman"/>
          <w:sz w:val="28"/>
          <w:szCs w:val="28"/>
        </w:rPr>
        <w:t>Что такое гиперопека и гипоопека и в чем их отличия?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Что такое «зона ближайшего развития» и какое она имеет значение в СПЭ несовершеннолетних?</w:t>
      </w:r>
    </w:p>
    <w:p w:rsidR="007E6B00" w:rsidRPr="00D91412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2">
        <w:rPr>
          <w:rFonts w:ascii="Times New Roman" w:hAnsi="Times New Roman" w:cs="Times New Roman"/>
          <w:sz w:val="28"/>
          <w:szCs w:val="28"/>
        </w:rPr>
        <w:t>От чего зависит способность подростка сознавать значение своих действий и осуществлять их регуляцию?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Возможна ли ситуация, при которой подросток сознает значение своих действий, но не может осуществлять их регуляцию?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Возможна ли ситуация, при которой подросток не сознает значение своих действий, но в то же время может осуществлять их регуляцию?</w:t>
      </w:r>
    </w:p>
    <w:p w:rsidR="007E6B00" w:rsidRPr="007E6B00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00">
        <w:rPr>
          <w:rFonts w:ascii="Times New Roman" w:hAnsi="Times New Roman" w:cs="Times New Roman"/>
          <w:sz w:val="28"/>
          <w:szCs w:val="28"/>
        </w:rPr>
        <w:t>Может ли эксперт-психолог установить, что уровень интеллектуального развития подростка соответствует (либо не соответствует) его возрасту по паспорту?</w:t>
      </w:r>
    </w:p>
    <w:p w:rsidR="007E6B00" w:rsidRPr="00D91412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2">
        <w:rPr>
          <w:rFonts w:ascii="Times New Roman" w:hAnsi="Times New Roman" w:cs="Times New Roman"/>
          <w:sz w:val="28"/>
          <w:szCs w:val="28"/>
        </w:rPr>
        <w:t>Что такое социальная и педагогическая запущенность и чем первое отличается от второго?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Каким образом установление факта социальной и/или педагогической запущенности подростка может повлиять на выводы эксперта-психолога?</w:t>
      </w:r>
    </w:p>
    <w:p w:rsidR="007E6B00" w:rsidRPr="00D91412" w:rsidRDefault="007E6B00" w:rsidP="007E6B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12">
        <w:rPr>
          <w:rFonts w:ascii="Times New Roman" w:hAnsi="Times New Roman" w:cs="Times New Roman"/>
          <w:sz w:val="28"/>
          <w:szCs w:val="28"/>
        </w:rPr>
        <w:t>Что такое сензитивные периоды психического развития ребенка и какое значение они имеют для СПЭ несовершеннолетних?</w:t>
      </w:r>
      <w:r w:rsidR="00D91412" w:rsidRPr="00D91412">
        <w:rPr>
          <w:rFonts w:ascii="Times New Roman" w:hAnsi="Times New Roman" w:cs="Times New Roman"/>
          <w:sz w:val="28"/>
          <w:szCs w:val="28"/>
        </w:rPr>
        <w:t xml:space="preserve"> </w:t>
      </w:r>
      <w:r w:rsidRPr="00D91412">
        <w:rPr>
          <w:rFonts w:ascii="Times New Roman" w:hAnsi="Times New Roman" w:cs="Times New Roman"/>
          <w:sz w:val="28"/>
          <w:szCs w:val="28"/>
        </w:rPr>
        <w:t>Действительно ли подростки обладают повышенной внушаемостью?</w:t>
      </w:r>
    </w:p>
    <w:p w:rsidR="007E6B00" w:rsidRPr="007E6B00" w:rsidRDefault="007E6B00" w:rsidP="007E6B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3209" w:rsidRPr="006F0D31" w:rsidRDefault="00903209" w:rsidP="00426F4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31">
        <w:rPr>
          <w:rFonts w:ascii="Times New Roman" w:hAnsi="Times New Roman" w:cs="Times New Roman"/>
          <w:b/>
          <w:sz w:val="28"/>
          <w:szCs w:val="28"/>
        </w:rPr>
        <w:t>Блок №</w:t>
      </w:r>
      <w:r w:rsidR="007E6B00" w:rsidRPr="006F0D31">
        <w:rPr>
          <w:rFonts w:ascii="Times New Roman" w:hAnsi="Times New Roman" w:cs="Times New Roman"/>
          <w:b/>
          <w:sz w:val="28"/>
          <w:szCs w:val="28"/>
        </w:rPr>
        <w:t>4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Каким образом определить лжесвидетельство и неискренность на суде?  Нужен ли суду для этого психолог?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Что означает понятие «выявленное провоцирующее поведение потерпевших»? Как данное явление влияет на приговор?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Почему некоторые потерпевшие могут быть склонны к преувеличенному искажению событий? Опишите примеры, и проинтерпретируйте их с психологической точки зрения.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Каким образом можно воздействовать на лиц, умышленно противодействующих достижению истины в судебном процессе?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Каковы особенности основания для назначения судебно-психологической экспертизы (СПЭ) и комплексной судебной психолого-психиатрической экспертизы (КСППЭ) в уголовном судопроизводстве? В каких случаях судебный эксперт–психолог присутствует в зале суда для ответов на вопросы по проведенному исследованию?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Психология подсудимого. Смягчающие и отягчающие вину обстоятельства. Вербальные и невербальные показатели «чистосердечного раскаяния».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Психология свидетельских показаний. Как отличить добросовестное заблуждение от сознательной лжи, а также  неискренности, в свидетельских показаниях?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При каких видах гражданских дел желательно было бы присутствие психолога-консультанта?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Переговоры как средство досудебного разбирательства ряда гражданских проблем. Роль психолога.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Судебно-психологическая экспертиза (СПЭ) в гражданском судопроизводстве. Комплексная судебная психолого-психиатрическая экспертиза (КСППЭ) в гражданском судопроизводстве. В каких случаях судебно-психологическая экспертиза (СПЭ) обязательна?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особенности деятельности прокурора и адвоката при рассмотрении уголовных и гражданских  дел в суде. 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Каковы правовые и иные возможные основания для участия психолога при рассмотрении дел в суде с участием присяжных заседателей?</w:t>
      </w:r>
    </w:p>
    <w:p w:rsidR="00651154" w:rsidRPr="001204B2" w:rsidRDefault="00651154" w:rsidP="006511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4B2">
        <w:rPr>
          <w:rFonts w:ascii="Times New Roman" w:eastAsia="Calibri" w:hAnsi="Times New Roman" w:cs="Times New Roman"/>
          <w:sz w:val="28"/>
          <w:szCs w:val="28"/>
        </w:rPr>
        <w:t>Выделите все возможные виды деятельности судебного психолога. Особо отметьте роль психолога при рассмотрении дел с участием несовершеннолетних.</w:t>
      </w:r>
    </w:p>
    <w:p w:rsidR="00651154" w:rsidRPr="001204B2" w:rsidRDefault="00651154" w:rsidP="00426F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90A" w:rsidRDefault="0097390A" w:rsidP="006F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D31">
        <w:rPr>
          <w:rFonts w:ascii="Times New Roman" w:hAnsi="Times New Roman"/>
          <w:b/>
          <w:bCs/>
          <w:sz w:val="28"/>
          <w:szCs w:val="28"/>
        </w:rPr>
        <w:t>Вопросы к зачету:</w:t>
      </w:r>
    </w:p>
    <w:p w:rsidR="006F0D31" w:rsidRPr="00CA3226" w:rsidRDefault="006F0D31" w:rsidP="006F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Общее представление об экспертной деятельности. </w:t>
      </w: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Субъективность и ответственность в деятельности эксперта. </w:t>
      </w: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Требования  к  эксперту.  Компетентность  эксперта,  его  общие  и  специальные  познания. </w:t>
      </w: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Этические и юридические основы деятельности эксперта.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Потребность в проведении психометрических исследований интеллекта и личности в практике трудовой экспертизы в психоневрологических комиссиях.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Спектр задач при проведении военной экспертизы подростков и юношей на призывной комиссии.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>Психометрическое обследование при проведении</w:t>
      </w:r>
      <w:r>
        <w:rPr>
          <w:rFonts w:ascii="Times New Roman" w:hAnsi="Times New Roman"/>
          <w:sz w:val="28"/>
          <w:szCs w:val="28"/>
        </w:rPr>
        <w:t xml:space="preserve"> судебно-психологической или су</w:t>
      </w:r>
      <w:r w:rsidRPr="00CA3226">
        <w:rPr>
          <w:rFonts w:ascii="Times New Roman" w:hAnsi="Times New Roman"/>
          <w:sz w:val="28"/>
          <w:szCs w:val="28"/>
        </w:rPr>
        <w:t xml:space="preserve">дебной комплексной психолого-психиатрической экспертизы (СПЭ или СКППЭ) информацию для вердикта суда.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29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Получение решающих экспериментально-психологических данных для установления диагноза при умственной отсталости в детских и подростковых отделениях психиатрических больниц; оценка степени прогредиентности психического заболевания, порождающего интеллектуально-мнестическое снижение; оценка возрастных изменений в психиатрической практике.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63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lastRenderedPageBreak/>
        <w:t xml:space="preserve">Принципы проведения патопсихологического исследования для выявления патопсихологической симптоматики.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Проблема субъективно-индивидуальной вариативности критериев для отнесения отдельных признаков и частных синдромов к определенному более общему симптомокомплексу или патопсихологическому синдрому. </w:t>
      </w:r>
    </w:p>
    <w:p w:rsidR="0097390A" w:rsidRPr="0097390A" w:rsidRDefault="0097390A" w:rsidP="0097390A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390A">
        <w:rPr>
          <w:rFonts w:ascii="Times New Roman" w:hAnsi="Times New Roman"/>
          <w:sz w:val="28"/>
          <w:szCs w:val="28"/>
        </w:rPr>
        <w:t xml:space="preserve">Ошибки исследования, возникающие при отступлении от принципов целостного  и системного изучения подэкспертных. </w:t>
      </w: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Специфика проведения патопсихологических проб.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Особенности поведенческих характеристик у разных подэкспертных, выявляемых при обследовании. Схема обследования.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Составление заключения по данным обследования.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Соматический и социальный факторы психологической дезадаптации при инвалидности.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1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Личность и внутренняя модель болезни. </w:t>
      </w: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Личность и установочное поведение. </w:t>
      </w: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Изменение психики при некоторых заболеваниях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Существенная и объективированная информация о состоянии психических функций испытуемого, перенесшего инвалидизирующее воздействие на нервную и психическую деятельность). </w:t>
      </w:r>
    </w:p>
    <w:p w:rsidR="0097390A" w:rsidRPr="00CA3226" w:rsidRDefault="0097390A" w:rsidP="0097390A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Актуальность оценки степени детериорации из-за интеллектуального дефекта и определение степени интеллектуального снижения. </w:t>
      </w:r>
    </w:p>
    <w:p w:rsidR="0097390A" w:rsidRPr="00CA3226" w:rsidRDefault="0097390A" w:rsidP="0097390A">
      <w:pPr>
        <w:widowControl w:val="0"/>
        <w:numPr>
          <w:ilvl w:val="3"/>
          <w:numId w:val="10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>Проведение массового обследования интеллект</w:t>
      </w:r>
      <w:r>
        <w:rPr>
          <w:rFonts w:ascii="Times New Roman" w:hAnsi="Times New Roman"/>
          <w:sz w:val="28"/>
          <w:szCs w:val="28"/>
        </w:rPr>
        <w:t>а в условиях призывной комиссии</w:t>
      </w:r>
      <w:r w:rsidRPr="00CA3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A3226">
        <w:rPr>
          <w:rFonts w:ascii="Times New Roman" w:hAnsi="Times New Roman"/>
          <w:sz w:val="28"/>
          <w:szCs w:val="28"/>
        </w:rPr>
        <w:t xml:space="preserve"> целью о</w:t>
      </w:r>
      <w:r>
        <w:rPr>
          <w:rFonts w:ascii="Times New Roman" w:hAnsi="Times New Roman"/>
          <w:sz w:val="28"/>
          <w:szCs w:val="28"/>
        </w:rPr>
        <w:t>тсеивания лиц, у которых предпо</w:t>
      </w:r>
      <w:r w:rsidRPr="00CA3226">
        <w:rPr>
          <w:rFonts w:ascii="Times New Roman" w:hAnsi="Times New Roman"/>
          <w:sz w:val="28"/>
          <w:szCs w:val="28"/>
        </w:rPr>
        <w:t xml:space="preserve">лагаются проблемы, связанные с интеллектуальным развитием. </w:t>
      </w: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Проведение решающей клинико-психологической диагностики в условиях стационара или специализированного учреждения. </w:t>
      </w: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Дифференциация нормы от дебильности, критерии для оценки.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Варианты написания заключения для определения возможности призыва подэкспертного в армию.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Судебные экспертизы с участием психолога: психиатрическая, комплексная психолого-психиатрическая, психологическая экспертизы.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Виды судебно-психологической экспертизы: по месту и условиям проведения, по процессуальному положению подэкспертных, по предмету экспертизы.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1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Судебно-психологическая экспертиза в гражданском процессе. </w:t>
      </w: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Участие клинического психолога в ПМПК.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1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Определение уровня психического развития ребенка и его аномалий, степени и структуры различных видов дизонтогенеза.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2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Определение психологом причин неуспеваемости ребенка.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8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1"/>
        </w:tabs>
        <w:overflowPunct w:val="0"/>
        <w:autoSpaceDE w:val="0"/>
        <w:autoSpaceDN w:val="0"/>
        <w:adjustRightInd w:val="0"/>
        <w:spacing w:after="0" w:line="21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Дифференциальная диагностика распознавания инициальных (начальных) стадий психических заболеваний. </w:t>
      </w:r>
    </w:p>
    <w:p w:rsidR="0097390A" w:rsidRPr="00CA3226" w:rsidRDefault="0097390A" w:rsidP="0097390A">
      <w:pPr>
        <w:widowControl w:val="0"/>
        <w:tabs>
          <w:tab w:val="num" w:pos="0"/>
          <w:tab w:val="left" w:pos="567"/>
        </w:tabs>
        <w:autoSpaceDE w:val="0"/>
        <w:autoSpaceDN w:val="0"/>
        <w:adjustRightInd w:val="0"/>
        <w:spacing w:after="0" w:line="59" w:lineRule="exact"/>
        <w:ind w:left="567" w:hanging="567"/>
        <w:rPr>
          <w:rFonts w:ascii="Times New Roman" w:hAnsi="Times New Roman"/>
          <w:sz w:val="28"/>
          <w:szCs w:val="28"/>
        </w:rPr>
      </w:pPr>
    </w:p>
    <w:p w:rsidR="0097390A" w:rsidRPr="00CA3226" w:rsidRDefault="0097390A" w:rsidP="0097390A">
      <w:pPr>
        <w:widowControl w:val="0"/>
        <w:numPr>
          <w:ilvl w:val="3"/>
          <w:numId w:val="11"/>
        </w:numPr>
        <w:tabs>
          <w:tab w:val="clear" w:pos="2880"/>
          <w:tab w:val="num" w:pos="0"/>
          <w:tab w:val="left" w:pos="567"/>
          <w:tab w:val="num" w:pos="1131"/>
        </w:tabs>
        <w:overflowPunct w:val="0"/>
        <w:autoSpaceDE w:val="0"/>
        <w:autoSpaceDN w:val="0"/>
        <w:adjustRightInd w:val="0"/>
        <w:spacing w:after="0" w:line="22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226">
        <w:rPr>
          <w:rFonts w:ascii="Times New Roman" w:hAnsi="Times New Roman"/>
          <w:sz w:val="28"/>
          <w:szCs w:val="28"/>
        </w:rPr>
        <w:t xml:space="preserve">Определение психологом потенциальных возможностей ребенка и выработка рекомендаций по обучению его в массовой, вспомогательной или специализированной школе. </w:t>
      </w:r>
    </w:p>
    <w:p w:rsidR="00651154" w:rsidRPr="001204B2" w:rsidRDefault="00651154" w:rsidP="00426F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90A" w:rsidRDefault="0097390A" w:rsidP="009739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9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основной, дополнительной литературы и эбс</w:t>
      </w:r>
    </w:p>
    <w:p w:rsidR="006F0D31" w:rsidRPr="0097390A" w:rsidRDefault="006F0D31" w:rsidP="009739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0A" w:rsidRPr="0097390A" w:rsidRDefault="0097390A" w:rsidP="00973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97390A" w:rsidRPr="0097390A" w:rsidRDefault="0097390A" w:rsidP="00973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Зейгарник Б.В. Патопсихология: учебник для бакалавров.- М.: Юрайт, 2013. -367с.</w:t>
      </w:r>
    </w:p>
    <w:p w:rsidR="0097390A" w:rsidRPr="0097390A" w:rsidRDefault="0097390A" w:rsidP="00973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Клименко Т.В. Судебная психиатрия.- М.: Юрайт, 2013.- 476с.</w:t>
      </w:r>
    </w:p>
    <w:p w:rsidR="0097390A" w:rsidRPr="0097390A" w:rsidRDefault="0097390A" w:rsidP="00973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Орлова Е.А. Клиническая психология: учебник для бакалавров. – М.: Юрайт, 2013. – 363с.</w:t>
      </w:r>
    </w:p>
    <w:p w:rsidR="0097390A" w:rsidRPr="0097390A" w:rsidRDefault="0097390A" w:rsidP="0097390A">
      <w:pPr>
        <w:pStyle w:val="a7"/>
        <w:rPr>
          <w:rFonts w:ascii="Times New Roman" w:hAnsi="Times New Roman"/>
          <w:sz w:val="28"/>
          <w:szCs w:val="28"/>
        </w:rPr>
      </w:pPr>
    </w:p>
    <w:p w:rsidR="0097390A" w:rsidRPr="0097390A" w:rsidRDefault="0097390A" w:rsidP="00973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390A">
        <w:rPr>
          <w:rFonts w:ascii="Times New Roman" w:hAnsi="Times New Roman" w:cs="Times New Roman"/>
          <w:sz w:val="28"/>
          <w:szCs w:val="28"/>
        </w:rPr>
        <w:t>) дополнительная литература:</w:t>
      </w:r>
    </w:p>
    <w:p w:rsidR="0097390A" w:rsidRPr="0097390A" w:rsidRDefault="0097390A" w:rsidP="00973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Акопов В.И. Судебная медицина.- М.: Юрайт, 2012.- 440с.</w:t>
      </w:r>
    </w:p>
    <w:p w:rsidR="0097390A" w:rsidRPr="0097390A" w:rsidRDefault="0097390A" w:rsidP="009739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Кулганов В.А., Белов Г., Парфенов Ю.А. Основы клинической психологии.- СПб.: Питер, 2013.- 456с.</w:t>
      </w:r>
    </w:p>
    <w:p w:rsidR="0097390A" w:rsidRPr="0097390A" w:rsidRDefault="0097390A" w:rsidP="0097390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 xml:space="preserve">         Мандель Б.Р. Психология зависимостей (аддиктология).- М.: Вузовский учебник: Инфра-М, 2015.- 320с.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Енгалычев В.Ф., Кисляков В.П, Юнда А.В. Основы судебно-психологической экспертизы. / Учебно-методическое пособие для студентов факультетов психологии. – Волгоград, 2006. – 270 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Зинин А.М. Участие специалиста в процессуальных действиях: учебник. Москва: Проспект, 2015. – 256 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Коченов М.М. Введение в судебно-психологическую экспертизу. М., Изд-во Моск. ун-та, 1980. – 117 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Коченов М.М. Судебно-психологическая экспертиза: теория и практика. Избранные труды. – М.: Генезис, 2010. – 352 с.</w:t>
      </w:r>
    </w:p>
    <w:p w:rsidR="0097390A" w:rsidRPr="0097390A" w:rsidRDefault="0097390A" w:rsidP="0097390A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Россинская Е.Р. Судебная экспертиза в гражданском, арбитражном, административном и уголовном процессе. – М.: Норма, 2009. – 688 с.</w:t>
      </w:r>
    </w:p>
    <w:p w:rsidR="0097390A" w:rsidRPr="0097390A" w:rsidRDefault="0097390A" w:rsidP="0097390A">
      <w:pPr>
        <w:tabs>
          <w:tab w:val="left" w:pos="0"/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Сафуанов Ф.С. Судебно-психологическая экспертиза: учебник для академического бакалавриата  / Ф.С. Сафуанов. – М.: Издательство Юрайт, 2014. – 421 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Ситковская О.Д., Конышева Л.П., Коченов М.М. Новые направления судебно-психологической экспертизы. Справочное пособие. М.: ООО Изд-тво «Юрлитинформ», 2000. – 160 с.</w:t>
      </w:r>
    </w:p>
    <w:p w:rsidR="0097390A" w:rsidRPr="0097390A" w:rsidRDefault="0097390A" w:rsidP="0097390A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90A">
        <w:rPr>
          <w:rFonts w:ascii="Times New Roman" w:hAnsi="Times New Roman" w:cs="Times New Roman"/>
          <w:sz w:val="28"/>
          <w:szCs w:val="28"/>
        </w:rPr>
        <w:t>ФЗ № 73 «О государственной судебно-экспертной деятельности в Российской Федерации» от 31 мая 2001 г.</w:t>
      </w:r>
    </w:p>
    <w:p w:rsidR="0097390A" w:rsidRPr="0097390A" w:rsidRDefault="0097390A" w:rsidP="0097390A">
      <w:pPr>
        <w:spacing w:after="0" w:line="3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90A" w:rsidRPr="0097390A" w:rsidRDefault="0097390A" w:rsidP="0097390A">
      <w:pPr>
        <w:pStyle w:val="a6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97390A">
        <w:rPr>
          <w:b/>
          <w:i/>
          <w:sz w:val="28"/>
          <w:szCs w:val="28"/>
        </w:rPr>
        <w:t>ЭБС</w:t>
      </w:r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hyperlink r:id="rId7" w:tgtFrame="__blanck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Карвасарский Б. Д.</w:t>
        </w:r>
        <w:r w:rsidR="0097390A" w:rsidRPr="0097390A">
          <w:rPr>
            <w:rStyle w:val="a4"/>
            <w:i/>
            <w:sz w:val="28"/>
            <w:szCs w:val="28"/>
          </w:rPr>
          <w:t xml:space="preserve"> Клиническая психология: Учебник для вузов. 4-е изд. — СПб. : Питер, 2011 г. — 864 с. — Электронное издание. — ISBN 978-5-459-00808-1 </w:t>
        </w:r>
      </w:hyperlink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hyperlink r:id="rId8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Корецкая И. А. </w:t>
        </w:r>
        <w:r w:rsidR="0097390A" w:rsidRPr="0097390A">
          <w:rPr>
            <w:rStyle w:val="a4"/>
            <w:i/>
            <w:sz w:val="28"/>
            <w:szCs w:val="28"/>
          </w:rPr>
          <w:t>Клиническая психология: учебное пособие. —  Москва:  ЕАОИ 2010 г.— 48 с. — Электронное издание. — ISBN 978-5-374-00366-6</w:t>
        </w:r>
      </w:hyperlink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hyperlink r:id="rId9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Кулганов В. А., Белов В. Г., Парфёнов Ю. А. </w:t>
        </w:r>
        <w:r w:rsidR="0097390A" w:rsidRPr="0097390A">
          <w:rPr>
            <w:rStyle w:val="a4"/>
            <w:i/>
            <w:sz w:val="28"/>
            <w:szCs w:val="28"/>
          </w:rPr>
          <w:t>Прикладная клиническая психология: учебное пособие. —  Санкт-Петербург:  СПбГИПСР 2012 г.— 444 с. — Электронное издание. — ISBN 978-5-98238-038-8</w:t>
        </w:r>
      </w:hyperlink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0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Кулганов В А. </w:t>
        </w:r>
        <w:r w:rsidR="0097390A" w:rsidRPr="0097390A">
          <w:rPr>
            <w:rStyle w:val="a4"/>
            <w:i/>
            <w:sz w:val="28"/>
            <w:szCs w:val="28"/>
          </w:rPr>
          <w:t>Основы клинической психологии. Учебник для вузов. Стандарт третьего поколения. —  Санкт-Петербург:  Питер 2013 г.— 464 с. — Электронное издание. — ISBN 978-5-496-00112-0</w:t>
        </w:r>
      </w:hyperlink>
    </w:p>
    <w:p w:rsidR="0097390A" w:rsidRPr="0097390A" w:rsidRDefault="008E0EB9" w:rsidP="0097390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hyperlink r:id="rId11" w:history="1">
        <w:r w:rsidR="0097390A" w:rsidRPr="0097390A">
          <w:rPr>
            <w:rStyle w:val="a5"/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Лебедева Л.В. </w:t>
        </w:r>
        <w:r w:rsidR="0097390A" w:rsidRPr="0097390A">
          <w:rPr>
            <w:rStyle w:val="a4"/>
            <w:rFonts w:ascii="Times New Roman" w:hAnsi="Times New Roman" w:cs="Times New Roman"/>
            <w:i/>
            <w:sz w:val="28"/>
            <w:szCs w:val="28"/>
          </w:rPr>
          <w:t>Социальная психология. —  Москва:  Флинта 2013 г.— 229 с. — Электронное издание. — ISBN 978-5-9765-1643-</w:t>
        </w:r>
        <w:r w:rsidR="0097390A" w:rsidRPr="0097390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4</w:t>
        </w:r>
      </w:hyperlink>
    </w:p>
    <w:p w:rsidR="0097390A" w:rsidRPr="0097390A" w:rsidRDefault="008E0EB9" w:rsidP="0097390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hyperlink r:id="rId12" w:history="1">
        <w:r w:rsidR="0097390A" w:rsidRPr="0097390A">
          <w:rPr>
            <w:rStyle w:val="a5"/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Ридецкая О. Г. </w:t>
        </w:r>
        <w:r w:rsidR="0097390A" w:rsidRPr="0097390A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Социальная психология: учебное пособие. —  Москва:  ЕАОИ 2011 г.— 516 с. — Электронное издание. — ISBN 978-5-374-00359-8</w:t>
        </w:r>
      </w:hyperlink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hyperlink r:id="rId13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Сост. Е. А. Спиркина. </w:t>
        </w:r>
        <w:r w:rsidR="0097390A" w:rsidRPr="0097390A">
          <w:rPr>
            <w:rStyle w:val="a4"/>
            <w:i/>
            <w:sz w:val="28"/>
            <w:szCs w:val="28"/>
          </w:rPr>
          <w:t>Психоанализ и искусство. —  Москва:  Когито-Центр 2011 г.— 176 с. — Электронное издание. — ISBN 978-5-89353-336-1</w:t>
        </w:r>
      </w:hyperlink>
    </w:p>
    <w:p w:rsidR="0097390A" w:rsidRPr="0097390A" w:rsidRDefault="008E0EB9" w:rsidP="0097390A">
      <w:pPr>
        <w:pStyle w:val="a6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hyperlink r:id="rId14" w:history="1">
        <w:r w:rsidR="0097390A" w:rsidRPr="0097390A">
          <w:rPr>
            <w:rStyle w:val="a5"/>
            <w:i/>
            <w:color w:val="0000FF"/>
            <w:sz w:val="28"/>
            <w:szCs w:val="28"/>
            <w:u w:val="single"/>
          </w:rPr>
          <w:t>Ягнюк К. В. </w:t>
        </w:r>
        <w:r w:rsidR="0097390A" w:rsidRPr="0097390A">
          <w:rPr>
            <w:rStyle w:val="a4"/>
            <w:i/>
            <w:sz w:val="28"/>
            <w:szCs w:val="28"/>
          </w:rPr>
          <w:t>Анатомия терапевтической коммуникации. Базовые навыки и техники. —  Москва:  Когито-Центр 2014 г.— 166 с. — Электронное издание. — ISBN 978-5-89353-412-2</w:t>
        </w:r>
      </w:hyperlink>
    </w:p>
    <w:p w:rsidR="00651154" w:rsidRPr="0097390A" w:rsidRDefault="00651154" w:rsidP="00426F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51154" w:rsidRPr="0097390A" w:rsidSect="0099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D8" w:rsidRDefault="00FF1CD8" w:rsidP="00F13331">
      <w:pPr>
        <w:spacing w:after="0" w:line="240" w:lineRule="auto"/>
      </w:pPr>
      <w:r>
        <w:separator/>
      </w:r>
    </w:p>
  </w:endnote>
  <w:endnote w:type="continuationSeparator" w:id="1">
    <w:p w:rsidR="00FF1CD8" w:rsidRDefault="00FF1CD8" w:rsidP="00F1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D8" w:rsidRDefault="00FF1CD8" w:rsidP="00F13331">
      <w:pPr>
        <w:spacing w:after="0" w:line="240" w:lineRule="auto"/>
      </w:pPr>
      <w:r>
        <w:separator/>
      </w:r>
    </w:p>
  </w:footnote>
  <w:footnote w:type="continuationSeparator" w:id="1">
    <w:p w:rsidR="00FF1CD8" w:rsidRDefault="00FF1CD8" w:rsidP="00F1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FBF"/>
    <w:multiLevelType w:val="hybridMultilevel"/>
    <w:tmpl w:val="00002F14"/>
    <w:lvl w:ilvl="0" w:tplc="00006A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47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22D"/>
    <w:multiLevelType w:val="hybridMultilevel"/>
    <w:tmpl w:val="000054DC"/>
    <w:lvl w:ilvl="0" w:tplc="0000368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5EF">
      <w:start w:val="2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57"/>
    <w:multiLevelType w:val="hybridMultilevel"/>
    <w:tmpl w:val="00002C49"/>
    <w:lvl w:ilvl="0" w:tplc="00003C6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88F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464762"/>
    <w:multiLevelType w:val="hybridMultilevel"/>
    <w:tmpl w:val="08BC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8A483A">
      <w:start w:val="2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4810"/>
    <w:multiLevelType w:val="hybridMultilevel"/>
    <w:tmpl w:val="2FC6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A9028B"/>
    <w:multiLevelType w:val="hybridMultilevel"/>
    <w:tmpl w:val="2FC6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5A302A"/>
    <w:multiLevelType w:val="hybridMultilevel"/>
    <w:tmpl w:val="B370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92637"/>
    <w:multiLevelType w:val="multilevel"/>
    <w:tmpl w:val="2FC0623A"/>
    <w:lvl w:ilvl="0">
      <w:start w:val="1"/>
      <w:numFmt w:val="upperRoman"/>
      <w:lvlText w:val="%1."/>
      <w:lvlJc w:val="left"/>
      <w:pPr>
        <w:ind w:left="1004" w:hanging="72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0">
    <w:nsid w:val="5C421E58"/>
    <w:multiLevelType w:val="hybridMultilevel"/>
    <w:tmpl w:val="B370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F7E56"/>
    <w:multiLevelType w:val="hybridMultilevel"/>
    <w:tmpl w:val="833AE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D5"/>
    <w:rsid w:val="001204B2"/>
    <w:rsid w:val="00184450"/>
    <w:rsid w:val="00247620"/>
    <w:rsid w:val="003704F8"/>
    <w:rsid w:val="00426F48"/>
    <w:rsid w:val="00651154"/>
    <w:rsid w:val="006A4385"/>
    <w:rsid w:val="006F0D31"/>
    <w:rsid w:val="007601D7"/>
    <w:rsid w:val="007E6B00"/>
    <w:rsid w:val="008E0EB9"/>
    <w:rsid w:val="00903209"/>
    <w:rsid w:val="0097390A"/>
    <w:rsid w:val="0099296D"/>
    <w:rsid w:val="00A07ED5"/>
    <w:rsid w:val="00B35BC9"/>
    <w:rsid w:val="00D91412"/>
    <w:rsid w:val="00EE2206"/>
    <w:rsid w:val="00F13331"/>
    <w:rsid w:val="00F9092B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5"/>
  </w:style>
  <w:style w:type="paragraph" w:styleId="1">
    <w:name w:val="heading 1"/>
    <w:basedOn w:val="a"/>
    <w:next w:val="a"/>
    <w:link w:val="10"/>
    <w:qFormat/>
    <w:rsid w:val="00F13331"/>
    <w:pPr>
      <w:keepNext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13331"/>
    <w:pPr>
      <w:keepNext/>
      <w:numPr>
        <w:ilvl w:val="1"/>
        <w:numId w:val="1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13331"/>
    <w:pPr>
      <w:keepNext/>
      <w:numPr>
        <w:ilvl w:val="2"/>
        <w:numId w:val="12"/>
      </w:numPr>
      <w:suppressAutoHyphens/>
      <w:spacing w:after="0" w:line="240" w:lineRule="auto"/>
      <w:ind w:left="360" w:firstLine="0"/>
      <w:outlineLvl w:val="2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13331"/>
    <w:pPr>
      <w:keepNext/>
      <w:numPr>
        <w:ilvl w:val="3"/>
        <w:numId w:val="12"/>
      </w:numPr>
      <w:suppressAutoHyphens/>
      <w:spacing w:after="0" w:line="240" w:lineRule="auto"/>
      <w:ind w:left="42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F13331"/>
    <w:pPr>
      <w:keepNext/>
      <w:numPr>
        <w:ilvl w:val="4"/>
        <w:numId w:val="1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13331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D5"/>
    <w:pPr>
      <w:ind w:left="720"/>
      <w:contextualSpacing/>
    </w:pPr>
  </w:style>
  <w:style w:type="character" w:styleId="a4">
    <w:name w:val="Hyperlink"/>
    <w:basedOn w:val="a0"/>
    <w:unhideWhenUsed/>
    <w:rsid w:val="0097390A"/>
    <w:rPr>
      <w:color w:val="0000FF"/>
      <w:u w:val="single"/>
    </w:rPr>
  </w:style>
  <w:style w:type="character" w:styleId="a5">
    <w:name w:val="Strong"/>
    <w:basedOn w:val="a0"/>
    <w:uiPriority w:val="22"/>
    <w:qFormat/>
    <w:rsid w:val="0097390A"/>
    <w:rPr>
      <w:b/>
      <w:bCs/>
    </w:rPr>
  </w:style>
  <w:style w:type="paragraph" w:styleId="a6">
    <w:name w:val="Normal (Web)"/>
    <w:basedOn w:val="a"/>
    <w:rsid w:val="009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Прогр"/>
    <w:basedOn w:val="a"/>
    <w:qFormat/>
    <w:rsid w:val="0097390A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331"/>
  </w:style>
  <w:style w:type="paragraph" w:styleId="aa">
    <w:name w:val="footer"/>
    <w:basedOn w:val="a"/>
    <w:link w:val="ab"/>
    <w:uiPriority w:val="99"/>
    <w:semiHidden/>
    <w:unhideWhenUsed/>
    <w:rsid w:val="00F1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331"/>
  </w:style>
  <w:style w:type="character" w:customStyle="1" w:styleId="10">
    <w:name w:val="Заголовок 1 Знак"/>
    <w:basedOn w:val="a0"/>
    <w:link w:val="1"/>
    <w:rsid w:val="00F1333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13331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1333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133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F13331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1333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c">
    <w:name w:val="Базовый"/>
    <w:rsid w:val="00F13331"/>
    <w:pPr>
      <w:tabs>
        <w:tab w:val="left" w:pos="708"/>
      </w:tabs>
      <w:suppressAutoHyphens/>
    </w:pPr>
    <w:rPr>
      <w:rFonts w:ascii="Calibri" w:eastAsia="Droid Sans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F13331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3331"/>
    <w:rPr>
      <w:rFonts w:ascii="Calibri" w:eastAsia="Times New Roman" w:hAnsi="Calibri" w:cs="Times New Roman"/>
      <w:lang w:val="en-US"/>
    </w:rPr>
  </w:style>
  <w:style w:type="character" w:customStyle="1" w:styleId="11">
    <w:name w:val="Заголовок №1_"/>
    <w:link w:val="12"/>
    <w:rsid w:val="00F13331"/>
    <w:rPr>
      <w:rFonts w:ascii="Arial Unicode MS" w:eastAsia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rsid w:val="00F13331"/>
    <w:pPr>
      <w:shd w:val="clear" w:color="auto" w:fill="FFFFFF"/>
      <w:spacing w:before="900" w:after="480" w:line="480" w:lineRule="exac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34468&amp;search_string=%D0%9A%D0%BB%D0%B8%D0%BD%D0%B8%D1%87%D0%B5%D1%81%D0%BA%D0%B0%D1%8F" TargetMode="External"/><Relationship Id="rId13" Type="http://schemas.openxmlformats.org/officeDocument/2006/relationships/hyperlink" Target="http://ibooks.ru/reading.php?productid=29588&amp;search_string=%D0%9A%D0%BB%D0%B8%D0%BD%D0%B8%D1%87%D0%B5%D1%81%D0%BA%D0%B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23134" TargetMode="External"/><Relationship Id="rId12" Type="http://schemas.openxmlformats.org/officeDocument/2006/relationships/hyperlink" Target="http://ibooks.ru/reading.php?productid=3346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379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books.ru/reading.php?productid=334069&amp;search_string=%D0%BA%D0%BB%D0%B8%D0%BD%D0%B8%D1%87%D0%B5%D1%81%D0%BA%D0%BE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35039&amp;search_string=%D0%9A%D0%9B%D0%98%D0%9D%D0%98%D0%A7%D0%95%D0%A1%D0%9A%D0%90%D0%AF" TargetMode="External"/><Relationship Id="rId14" Type="http://schemas.openxmlformats.org/officeDocument/2006/relationships/hyperlink" Target="http://ibooks.ru/reading.php?productid=343301&amp;search_string=%D0%BF%D1%81%D0%B8%D1%85%D0%BE%D0%BB%D0%BE%D0%B3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калуга</cp:lastModifiedBy>
  <cp:revision>2</cp:revision>
  <dcterms:created xsi:type="dcterms:W3CDTF">2016-03-18T08:14:00Z</dcterms:created>
  <dcterms:modified xsi:type="dcterms:W3CDTF">2016-03-18T08:14:00Z</dcterms:modified>
</cp:coreProperties>
</file>